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6200"/>
        <w:gridCol w:w="2900"/>
      </w:tblGrid>
      <w:tr w:rsidR="00DA3C84" w:rsidRPr="00DA3C84" w14:paraId="7E638ECF" w14:textId="77777777" w:rsidTr="00DA3C84">
        <w:trPr>
          <w:trHeight w:val="945"/>
        </w:trPr>
        <w:tc>
          <w:tcPr>
            <w:tcW w:w="140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000" w:fill="FFC000"/>
            <w:vAlign w:val="center"/>
            <w:hideMark/>
          </w:tcPr>
          <w:p w14:paraId="5AAB72E5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fr-CD"/>
              </w:rPr>
            </w:pPr>
            <w:bookmarkStart w:id="0" w:name="_GoBack"/>
            <w:bookmarkEnd w:id="0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fr-CD"/>
              </w:rPr>
              <w:t xml:space="preserve">MATRICE D'ALIGNEMENT DES DIRECTIONS ET STRUCTURES DU MEDD AUX INDICATEURS DE LA LETTRE DE MISSION </w:t>
            </w:r>
          </w:p>
        </w:tc>
      </w:tr>
      <w:tr w:rsidR="00DA3C84" w:rsidRPr="00DA3C84" w14:paraId="3E6A43CC" w14:textId="77777777" w:rsidTr="00DA3C84">
        <w:trPr>
          <w:trHeight w:val="9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4C6A9050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  <w:t>Objectif Stratégique Sectoriel : OSS 1</w:t>
            </w: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2F2F234E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 xml:space="preserve">Promouvoir une économie verte axée sur la réduction des émissions de gaz à effet de serre et l’atteinte de la neutralité carbone </w:t>
            </w:r>
          </w:p>
        </w:tc>
      </w:tr>
      <w:tr w:rsidR="00DA3C84" w:rsidRPr="00DA3C84" w14:paraId="58B1A093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0DB7C87F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Référence ODD</w:t>
            </w:r>
          </w:p>
        </w:tc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5E936C61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ODD  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 xml:space="preserve"> </w:t>
            </w: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: PRENDRE D’URGENCE DES MESURES POUR LUTTER CONTRE LES CHANGEMENTS CLIMATIQUES ET LEURS RÉPERCUSSIONS</w:t>
            </w:r>
          </w:p>
        </w:tc>
      </w:tr>
      <w:tr w:rsidR="00DA3C84" w:rsidRPr="00DA3C84" w14:paraId="51690D68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316A115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RESULTATS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E699" w:fill="FFE699"/>
            <w:vAlign w:val="center"/>
            <w:hideMark/>
          </w:tcPr>
          <w:p w14:paraId="4D287D6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Indicateurs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5F3B0C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DIRECTIONS OU STRUCTURES RESPONSABLES</w:t>
            </w:r>
          </w:p>
        </w:tc>
      </w:tr>
      <w:tr w:rsidR="00DA3C84" w:rsidRPr="00DA3C84" w14:paraId="352EA3F6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463424A6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E699" w:fill="FFE699"/>
            <w:vAlign w:val="center"/>
            <w:hideMark/>
          </w:tcPr>
          <w:p w14:paraId="596ED44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E883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</w:p>
        </w:tc>
      </w:tr>
      <w:tr w:rsidR="00DA3C84" w:rsidRPr="00DA3C84" w14:paraId="7101C686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5954DAF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Résultat Attendu 1: La Contribution Déterminée Nationale </w:t>
            </w: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revisée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 2021 de la RDC évaluée et mise en œuvre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7607A2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Nombre de programmes d'investissement REDD+ suivis et évalués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B3B6796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DDD, DEP, DIAF, DGF</w:t>
            </w:r>
          </w:p>
        </w:tc>
      </w:tr>
      <w:tr w:rsidR="00DA3C84" w:rsidRPr="00DA3C84" w14:paraId="7CBD2D2A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6C29E52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E483D4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rapports de collecte de données d'évaluation disponibles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463338B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DIAF, DEP</w:t>
            </w:r>
          </w:p>
        </w:tc>
      </w:tr>
      <w:tr w:rsidR="00DA3C84" w:rsidRPr="00DA3C84" w14:paraId="18CD361F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007AA40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7BF2D56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L’Autorité de Régulation du Marché Carbone en RDC et le Fonds d’Intervention pour l’Environnement sont opérationnels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DF1300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DRCE, MINETAT MEDD</w:t>
            </w:r>
          </w:p>
        </w:tc>
      </w:tr>
      <w:tr w:rsidR="00DA3C84" w:rsidRPr="00DA3C84" w14:paraId="13385688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3A1FD1C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R1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77D75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8CF8FA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01150840" w14:textId="77777777" w:rsidTr="00DA3C84">
        <w:trPr>
          <w:trHeight w:val="6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735C4C5C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2: Les réformes du secteur forestier de la RDC finalisées et mises en œuvre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36EA650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d'outils de planification environnementale et forestière élaborés et validés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9327DE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DEP, DGECV, DGFOR</w:t>
            </w:r>
          </w:p>
        </w:tc>
      </w:tr>
      <w:tr w:rsidR="00DA3C84" w:rsidRPr="00DA3C84" w14:paraId="38E272B1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EEA1FFF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6DA3B9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rapports d'activités de reforestation produits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D2C55C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DEP, DGECV, DGFOR</w:t>
            </w:r>
          </w:p>
        </w:tc>
      </w:tr>
      <w:tr w:rsidR="00DA3C84" w:rsidRPr="00DA3C84" w14:paraId="2A29D3ED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6256BA7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3CD3C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C9563FE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41A3B16E" w14:textId="77777777" w:rsidTr="00DA3C84">
        <w:trPr>
          <w:trHeight w:val="99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1B3FDF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Résultat Attendu 3: Un Plan stratégique de gestion durable des Zones humides (tourbières, mangroves, </w:t>
            </w: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etc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) mis en place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122E8E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techniques d'afforestation vulgarisées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vAlign w:val="center"/>
            <w:hideMark/>
          </w:tcPr>
          <w:p w14:paraId="034D257C" w14:textId="16A9B67C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DDD, DGFOR, </w:t>
            </w: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DRHo</w:t>
            </w:r>
            <w:proofErr w:type="spellEnd"/>
            <w:r w:rsidR="009E15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, DANTIC</w:t>
            </w:r>
          </w:p>
        </w:tc>
      </w:tr>
      <w:tr w:rsidR="00DA3C84" w:rsidRPr="00DA3C84" w14:paraId="0CF9CFAF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3FDAA95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29E8FE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Superficie des zones humides (Tourbières et Mangroves) cartographiée et évaluée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8032D9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DIAF, </w:t>
            </w: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DRHo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, DRE, DCF</w:t>
            </w:r>
          </w:p>
        </w:tc>
      </w:tr>
      <w:tr w:rsidR="00DA3C84" w:rsidRPr="00DA3C84" w14:paraId="66D2FEF3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66A1126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C4C3BEE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rapports d'activités d’adaptation et d'atténuation disponibles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vAlign w:val="center"/>
            <w:hideMark/>
          </w:tcPr>
          <w:p w14:paraId="23A407FB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DRE, DDD, DGFOR, DEP, DIAF</w:t>
            </w:r>
          </w:p>
        </w:tc>
      </w:tr>
      <w:tr w:rsidR="00DA3C84" w:rsidRPr="00DA3C84" w14:paraId="3C66E178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8B972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1329C1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1D9A1D6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29A94C7D" w14:textId="77777777" w:rsidTr="00DA3C84">
        <w:trPr>
          <w:trHeight w:val="114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E4856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lastRenderedPageBreak/>
              <w:t>Résultat Attendu 4: L'organisation et la participation des conférences de haut niveau sur la forêt, la biodiversité et le Changements climatiques assurées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DE548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réunions préparatoires tenues</w:t>
            </w:r>
            <w:r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 </w:t>
            </w: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(COMIFAC, CCNUCC, CCNUB, …)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5A5C800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COMIFAC, DDD, DEP</w:t>
            </w:r>
          </w:p>
        </w:tc>
      </w:tr>
      <w:tr w:rsidR="00DA3C84" w:rsidRPr="00DA3C84" w14:paraId="14B8E8E5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E8221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A71900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forum de haut niveau tenus (COMIFAC, CCNUCC, CCNUB, …)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1AFEA36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COMIFAC, DDD, DEP</w:t>
            </w:r>
          </w:p>
        </w:tc>
      </w:tr>
      <w:tr w:rsidR="00DA3C84" w:rsidRPr="00DA3C84" w14:paraId="6FD08530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4CB536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4BC22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des Sessions d'experts de haut niveau tenues sur promotion de la diplomatie environnementale et forestière organisées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64384C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DEP, DGFOR, DIAF, DGECV</w:t>
            </w:r>
          </w:p>
        </w:tc>
      </w:tr>
      <w:tr w:rsidR="00DA3C84" w:rsidRPr="00DA3C84" w14:paraId="558F7167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D926A8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50D08F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401DE2B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74A59FA4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FE5DF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OSS1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B68065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0C79B8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49061BD7" w14:textId="77777777" w:rsidTr="00DA3C84">
        <w:trPr>
          <w:trHeight w:val="63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10EA597B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  <w:t>Objectif Stratégique Sectoriel: OSS 2</w:t>
            </w:r>
          </w:p>
        </w:tc>
        <w:tc>
          <w:tcPr>
            <w:tcW w:w="9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097783C0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CD"/>
              </w:rPr>
              <w:t>Garantir un environnement de vie sain pour les Congolais débarrassés notamment de toute pollution liée aux déchets</w:t>
            </w:r>
          </w:p>
        </w:tc>
      </w:tr>
      <w:tr w:rsidR="00DA3C84" w:rsidRPr="00DA3C84" w14:paraId="16FB6C2A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0A66DEB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Référence: ODD 6</w:t>
            </w:r>
          </w:p>
        </w:tc>
        <w:tc>
          <w:tcPr>
            <w:tcW w:w="9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77A3978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GARANTIR L’ACCÈS DE TOUS À L’EAU ET À L’ASSAINISSEMENT ET ASSURER UNE GESTION DURABLE DES RESSOURCES EN EAU.</w:t>
            </w:r>
          </w:p>
        </w:tc>
      </w:tr>
      <w:tr w:rsidR="00DA3C84" w:rsidRPr="00DA3C84" w14:paraId="0FEF1B40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46714A3E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RESULTATS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033A153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Indicateurs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4C15D9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DIRECTIONS OU STRUCTURES RESPONSABLES</w:t>
            </w:r>
          </w:p>
        </w:tc>
      </w:tr>
      <w:tr w:rsidR="00DA3C84" w:rsidRPr="00DA3C84" w14:paraId="328B043C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62F5229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E699" w:fill="FFE699"/>
            <w:vAlign w:val="center"/>
            <w:hideMark/>
          </w:tcPr>
          <w:p w14:paraId="713BF6FB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E103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</w:p>
        </w:tc>
      </w:tr>
      <w:tr w:rsidR="00DA3C84" w:rsidRPr="00DA3C84" w14:paraId="61D63BF5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A2E4AF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1 : Les capacités humaines, techniques et institutionnelles de services d'assainissement,  renforcées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CFE9F0C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d’emplois verts créés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F288DD6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</w:pP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DRHo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, DAS</w:t>
            </w:r>
          </w:p>
        </w:tc>
      </w:tr>
      <w:tr w:rsidR="00DA3C84" w:rsidRPr="00DA3C84" w14:paraId="12097A58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72C7117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F554BF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Nombre de Provinces et ETD disposant de mécanisme institutionnel de gestion des déchets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3C119D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DAS, DEP, DRCE</w:t>
            </w:r>
          </w:p>
        </w:tc>
      </w:tr>
      <w:tr w:rsidR="00DA3C84" w:rsidRPr="00DA3C84" w14:paraId="6100D209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0A733A6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9752B3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Taux de pollution de l’environnement (air, eau et sol)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F06C00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 xml:space="preserve">DEHPE, </w:t>
            </w: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DRE et CREBBAC</w:t>
            </w:r>
          </w:p>
        </w:tc>
      </w:tr>
      <w:tr w:rsidR="00DA3C84" w:rsidRPr="00DA3C84" w14:paraId="49513EEB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77867DC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D944BA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d’ouvrages d’art réhabilités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00"/>
            <w:noWrap/>
            <w:vAlign w:val="center"/>
            <w:hideMark/>
          </w:tcPr>
          <w:p w14:paraId="3D282CF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</w:pP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DRHo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, DAS</w:t>
            </w:r>
          </w:p>
        </w:tc>
      </w:tr>
      <w:tr w:rsidR="00DA3C84" w:rsidRPr="00DA3C84" w14:paraId="2528434A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4CE792A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6AF16C2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des sites érosifs assainis et stabilisés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noWrap/>
            <w:vAlign w:val="center"/>
            <w:hideMark/>
          </w:tcPr>
          <w:p w14:paraId="4ACFE8F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</w:pPr>
            <w:proofErr w:type="spellStart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DRHo</w:t>
            </w:r>
            <w:proofErr w:type="spellEnd"/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CD"/>
              </w:rPr>
              <w:t>, DDD</w:t>
            </w:r>
          </w:p>
        </w:tc>
      </w:tr>
      <w:tr w:rsidR="00DA3C84" w:rsidRPr="00DA3C84" w14:paraId="7EDD0A86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4AA2A4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R1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5F24A8B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8E31A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 </w:t>
            </w:r>
          </w:p>
        </w:tc>
      </w:tr>
      <w:tr w:rsidR="00DA3C84" w:rsidRPr="00DA3C84" w14:paraId="37068F16" w14:textId="77777777" w:rsidTr="00DA3C84">
        <w:trPr>
          <w:trHeight w:val="855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00E9ABB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Résultat Attendu 2: Un  "programme d'urgence d'assainissement accéléré des villes",  mis en place et opérationnel 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F6D813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d'études de faisabilité des projets élaborées et exécutées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21C5A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DEP</w:t>
            </w:r>
          </w:p>
        </w:tc>
      </w:tr>
      <w:tr w:rsidR="00DA3C84" w:rsidRPr="00DA3C84" w14:paraId="30AD11F4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1AC0DD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09AE81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des Stations de Traitement des Boues de Vidange et autres déchets, construites et opérationnelles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57F30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DAS, CGMP</w:t>
            </w:r>
          </w:p>
        </w:tc>
      </w:tr>
      <w:tr w:rsidR="00DA3C84" w:rsidRPr="00DA3C84" w14:paraId="563A8620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7A969C5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7EF8F2F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des rapports d'inventaires thématiques produits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8D2E6B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DAS</w:t>
            </w:r>
          </w:p>
        </w:tc>
      </w:tr>
      <w:tr w:rsidR="00DA3C84" w:rsidRPr="00DA3C84" w14:paraId="2F8B91C6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2EFDA" w:fill="E2EFDA"/>
            <w:vAlign w:val="center"/>
            <w:hideMark/>
          </w:tcPr>
          <w:p w14:paraId="1E386FD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76283CE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Nombre d'accords de Partenariat Public-Privé signés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4B4DF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DRCE, DAS</w:t>
            </w:r>
          </w:p>
        </w:tc>
      </w:tr>
      <w:tr w:rsidR="00DA3C84" w:rsidRPr="00DA3C84" w14:paraId="403E3F34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8642CB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5613B73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8958E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 </w:t>
            </w:r>
          </w:p>
        </w:tc>
      </w:tr>
      <w:tr w:rsidR="00DA3C84" w:rsidRPr="00DA3C84" w14:paraId="3EFE37D2" w14:textId="77777777" w:rsidTr="00DA3C84">
        <w:trPr>
          <w:trHeight w:val="6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2F0B86D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3: La gestion intégrée des ressources en eau, mise en œuvre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6840642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Proportion des technologies intelligentes acquises pour optimiser la   gestion rationnelle de l’eau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F3704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DRE, DANTIC</w:t>
            </w:r>
          </w:p>
        </w:tc>
      </w:tr>
      <w:tr w:rsidR="00DA3C84" w:rsidRPr="00DA3C84" w14:paraId="1088E9AC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39B042F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3A04CE4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Taux de dépollution des eaux et sols disponibles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937A7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CCV, DEHPE</w:t>
            </w:r>
          </w:p>
        </w:tc>
      </w:tr>
      <w:tr w:rsidR="00DA3C84" w:rsidRPr="00DA3C84" w14:paraId="7665924F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6F79237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5520D4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rapports d'activités réalisées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44B9E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DRE</w:t>
            </w:r>
          </w:p>
        </w:tc>
      </w:tr>
      <w:tr w:rsidR="00DA3C84" w:rsidRPr="00DA3C84" w14:paraId="572D18AD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31AADD7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02FE959E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schémas d'aménagement et de gestion de ressources en eau par bassin hydrologique produits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E8624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DRE,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 xml:space="preserve"> </w:t>
            </w: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DIAF</w:t>
            </w:r>
          </w:p>
        </w:tc>
      </w:tr>
      <w:tr w:rsidR="00DA3C84" w:rsidRPr="00DA3C84" w14:paraId="0DA3C54D" w14:textId="77777777" w:rsidTr="00DA3C84">
        <w:trPr>
          <w:trHeight w:val="31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818908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R3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616D18D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5E670A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 </w:t>
            </w:r>
          </w:p>
        </w:tc>
      </w:tr>
      <w:tr w:rsidR="00DA3C84" w:rsidRPr="00DA3C84" w14:paraId="139DA58C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5ED4C63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OSS2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23C4B1A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E10C32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CD"/>
              </w:rPr>
              <w:t> </w:t>
            </w:r>
          </w:p>
        </w:tc>
      </w:tr>
      <w:tr w:rsidR="00DA3C84" w:rsidRPr="00DA3C84" w14:paraId="592D107C" w14:textId="77777777" w:rsidTr="00DA3C84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92D050" w:fill="92D050"/>
            <w:vAlign w:val="center"/>
            <w:hideMark/>
          </w:tcPr>
          <w:p w14:paraId="21E494FF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CD"/>
              </w:rPr>
              <w:t>Objectif Stratégique Sectoriel: OSS 3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2D050" w:fill="92D050"/>
            <w:vAlign w:val="center"/>
            <w:hideMark/>
          </w:tcPr>
          <w:p w14:paraId="5934C9C3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CD"/>
              </w:rPr>
              <w:t>Garantir la conservation de la diversité biologique</w:t>
            </w:r>
          </w:p>
        </w:tc>
      </w:tr>
      <w:tr w:rsidR="00DA3C84" w:rsidRPr="00DA3C84" w14:paraId="3E5A8E89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30DE4C4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>Référence: ODD 15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5B21E4FC" w14:textId="77777777" w:rsidR="00DA3C84" w:rsidRPr="00DA3C84" w:rsidRDefault="00DA3C84" w:rsidP="00DA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CD"/>
              </w:rPr>
              <w:t xml:space="preserve">PRÉSERVER ET RESTAURER LES ÉCOSYSTÈMES TERRESTRES, </w:t>
            </w:r>
          </w:p>
        </w:tc>
      </w:tr>
      <w:tr w:rsidR="00DA3C84" w:rsidRPr="00DA3C84" w14:paraId="2410F810" w14:textId="77777777" w:rsidTr="00DA3C84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E699" w:fill="FFE699"/>
            <w:vAlign w:val="center"/>
            <w:hideMark/>
          </w:tcPr>
          <w:p w14:paraId="331AE25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RESULTATS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E699" w:fill="FFE699"/>
            <w:vAlign w:val="center"/>
            <w:hideMark/>
          </w:tcPr>
          <w:p w14:paraId="2969921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Indicateurs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15A969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DIRECTIONS OU STRUCTURES RESPONSABLES</w:t>
            </w:r>
          </w:p>
        </w:tc>
      </w:tr>
      <w:tr w:rsidR="00DA3C84" w:rsidRPr="00DA3C84" w14:paraId="622BCB0A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E699" w:fill="FFE699"/>
            <w:vAlign w:val="center"/>
            <w:hideMark/>
          </w:tcPr>
          <w:p w14:paraId="3A094C4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E699" w:fill="FFE699"/>
            <w:vAlign w:val="center"/>
            <w:hideMark/>
          </w:tcPr>
          <w:p w14:paraId="11BF870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ACA9C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</w:p>
        </w:tc>
      </w:tr>
      <w:tr w:rsidR="00DA3C84" w:rsidRPr="00DA3C84" w14:paraId="7FF23ADD" w14:textId="77777777" w:rsidTr="00DA3C84">
        <w:trPr>
          <w:trHeight w:val="855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45192EF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1: La Convention Cadre de Nations Unies relative la biodiversité, mise en œuvre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722B04D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Plan de conservation communautaire développés par province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14:paraId="7765301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  <w:t>COMIFAC-RDC, DDD, DGF</w:t>
            </w:r>
          </w:p>
        </w:tc>
      </w:tr>
      <w:tr w:rsidR="00DA3C84" w:rsidRPr="00DA3C84" w14:paraId="4F9EBCB9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0AC93B2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64EE2AC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Superficies d'aires protégées augmentées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14:paraId="1FEC845E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  <w:t>DCN, ICCN</w:t>
            </w:r>
          </w:p>
        </w:tc>
      </w:tr>
      <w:tr w:rsidR="00DA3C84" w:rsidRPr="00DA3C84" w14:paraId="33AE65E5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DEBF7" w:fill="DDEBF7"/>
            <w:vAlign w:val="center"/>
            <w:hideMark/>
          </w:tcPr>
          <w:p w14:paraId="17BAF65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7A8998CF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d'outils de suivi-évaluation mis en place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14:paraId="0BB82D4C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  <w:t>COMIFAC-RDC, DDD, DEP</w:t>
            </w:r>
          </w:p>
        </w:tc>
      </w:tr>
      <w:tr w:rsidR="00DA3C84" w:rsidRPr="00DA3C84" w14:paraId="1924407A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DEBF7" w:fill="DDEBF7"/>
            <w:vAlign w:val="center"/>
            <w:hideMark/>
          </w:tcPr>
          <w:p w14:paraId="4487DF4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2B8C8B0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Nombre de conflits homme-faune-flore résolus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vAlign w:val="center"/>
            <w:hideMark/>
          </w:tcPr>
          <w:p w14:paraId="49BE007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D"/>
              </w:rPr>
              <w:t>DCN, ICCN</w:t>
            </w:r>
          </w:p>
        </w:tc>
      </w:tr>
      <w:tr w:rsidR="00DA3C84" w:rsidRPr="00DA3C84" w14:paraId="4D9DBDC1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1ECA561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R1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5355C56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24BAC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45792126" w14:textId="77777777" w:rsidTr="00DA3C84">
        <w:trPr>
          <w:trHeight w:val="6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7857EC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2: Les espèces fauniques et floristiques valorisées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175CDD0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rap</w:t>
            </w:r>
            <w:r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p</w:t>
            </w: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ort</w:t>
            </w:r>
            <w:r>
              <w:rPr>
                <w:rFonts w:ascii="Times New Roman" w:eastAsia="Times New Roman" w:hAnsi="Times New Roman" w:cs="Times New Roman"/>
                <w:color w:val="000000"/>
                <w:lang w:val="fr-CD"/>
              </w:rPr>
              <w:t xml:space="preserve"> </w:t>
            </w: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d'inventaire des espèces faunique et floristique produit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981561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DCN, DIAF, DPVB</w:t>
            </w:r>
          </w:p>
        </w:tc>
      </w:tr>
      <w:tr w:rsidR="00DA3C84" w:rsidRPr="00DA3C84" w14:paraId="010B1A33" w14:textId="77777777" w:rsidTr="00DA3C84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F992C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4B80022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normes et mesures de gestion des aires protégées renforcées et vulgarisées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DF7EAB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DCN, ICCN, DRCE, DANTIC</w:t>
            </w:r>
          </w:p>
        </w:tc>
      </w:tr>
      <w:tr w:rsidR="00DA3C84" w:rsidRPr="00DA3C84" w14:paraId="0010BAAD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21F8D33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vAlign w:val="center"/>
            <w:hideMark/>
          </w:tcPr>
          <w:p w14:paraId="61CBEA21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E1D0B6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0BC2FEF3" w14:textId="77777777" w:rsidTr="00DA3C84">
        <w:trPr>
          <w:trHeight w:val="6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CD6292F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Résultat Attendu 3: les postes de contrôle fauniques et floristique renforcées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5EF6BB9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postes de surveillance des maladies dues aux facteurs environnementaux mis en place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7EE05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DCN, DEP</w:t>
            </w:r>
          </w:p>
        </w:tc>
      </w:tr>
      <w:tr w:rsidR="00DA3C84" w:rsidRPr="00DA3C84" w14:paraId="78C513A4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BB6E8B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lastRenderedPageBreak/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7B8CA22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d'inspecteurs formés et équipés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5ECAA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CCV</w:t>
            </w:r>
          </w:p>
        </w:tc>
      </w:tr>
      <w:tr w:rsidR="00DA3C84" w:rsidRPr="00DA3C84" w14:paraId="000A078A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8F6B45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DEBF7" w:fill="DDEBF7"/>
            <w:vAlign w:val="center"/>
            <w:hideMark/>
          </w:tcPr>
          <w:p w14:paraId="0813171A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laboratoires de surveillance mis en place et opérationnel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9FC89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DCN, CGMP</w:t>
            </w:r>
          </w:p>
        </w:tc>
      </w:tr>
      <w:tr w:rsidR="00DA3C84" w:rsidRPr="00DA3C84" w14:paraId="3FF74D31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BCFDE9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09B668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B93371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3A42FA8E" w14:textId="77777777" w:rsidTr="00DA3C84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D59342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 xml:space="preserve">Résultat Attendu : La protection de la biodiversité dans les aires protégées frontalières assurée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3232B6D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des mesures de lutte contre le trafic transfrontalier illicite des espèces sauvages menacées d'extinction ou non, mises en œuvre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CA3C1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CCV, DCN, DRCE</w:t>
            </w:r>
          </w:p>
        </w:tc>
      </w:tr>
      <w:tr w:rsidR="00DA3C84" w:rsidRPr="00DA3C84" w14:paraId="49301218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92F274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3E6C0FF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postes de surveillance (FOB) construits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CC5E0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DCN, CGMP</w:t>
            </w:r>
          </w:p>
        </w:tc>
      </w:tr>
      <w:tr w:rsidR="00DA3C84" w:rsidRPr="00DA3C84" w14:paraId="08D1005A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432F5E3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420FF72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color w:val="000000"/>
                <w:lang w:val="fr-CD"/>
              </w:rPr>
              <w:t>Nombre de structures et agents renforcés en capacité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89BE1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DRH, DAF</w:t>
            </w:r>
          </w:p>
        </w:tc>
      </w:tr>
      <w:tr w:rsidR="00DA3C84" w:rsidRPr="00DA3C84" w14:paraId="17683830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550728AD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R4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0EB06698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5C7E5B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5B4528C7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144035B9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S/Total OSS3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E2EFDA"/>
            <w:vAlign w:val="center"/>
            <w:hideMark/>
          </w:tcPr>
          <w:p w14:paraId="7E59BB17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B6D19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  <w:tr w:rsidR="00DA3C84" w:rsidRPr="00DA3C84" w14:paraId="25C1615B" w14:textId="77777777" w:rsidTr="00DA3C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2EFDA" w:fill="A9D08E"/>
            <w:vAlign w:val="center"/>
            <w:hideMark/>
          </w:tcPr>
          <w:p w14:paraId="073A4C30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TOTAL GENERAL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A" w:fill="A9D08E"/>
            <w:vAlign w:val="center"/>
            <w:hideMark/>
          </w:tcPr>
          <w:p w14:paraId="62898482" w14:textId="77777777" w:rsidR="00DA3C84" w:rsidRPr="00DA3C84" w:rsidRDefault="00DA3C84" w:rsidP="00DA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</w:pPr>
            <w:r w:rsidRPr="00DA3C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CD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D5C79" w14:textId="77777777" w:rsidR="00DA3C84" w:rsidRPr="00DA3C84" w:rsidRDefault="00DA3C84" w:rsidP="00DA3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</w:pPr>
            <w:r w:rsidRPr="00DA3C84">
              <w:rPr>
                <w:rFonts w:ascii="Calibri" w:eastAsia="Times New Roman" w:hAnsi="Calibri" w:cs="Calibri"/>
                <w:b/>
                <w:bCs/>
                <w:color w:val="000000"/>
                <w:lang w:val="fr-CD"/>
              </w:rPr>
              <w:t> </w:t>
            </w:r>
          </w:p>
        </w:tc>
      </w:tr>
    </w:tbl>
    <w:p w14:paraId="06C099E8" w14:textId="77777777" w:rsidR="00EB2E3A" w:rsidRDefault="00EB2E3A"/>
    <w:sectPr w:rsidR="00EB2E3A" w:rsidSect="00DA3C84">
      <w:pgSz w:w="16838" w:h="11906" w:orient="landscape"/>
      <w:pgMar w:top="851" w:right="96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49"/>
    <w:rsid w:val="00004752"/>
    <w:rsid w:val="00385F89"/>
    <w:rsid w:val="0047485D"/>
    <w:rsid w:val="0075515C"/>
    <w:rsid w:val="009E1549"/>
    <w:rsid w:val="00DA3C84"/>
    <w:rsid w:val="00E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C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plorer\MAYUNDO\One%20Drive_2025\Documents\CLES_OCTOBRE%202024\Feuille%20de%20route%20PAG_2024\MATRICE%20D'ALIGNEMENT%20AUX%20INDICATEURS%20DE%20LA%20LETTRE%20DES%20MISSION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MATRICE D'ALIGNEMENT AUX INDICATEURS DE LA LETTRE DES MISSIONS</Template>
  <TotalTime>0</TotalTime>
  <Pages>4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2</cp:revision>
  <dcterms:created xsi:type="dcterms:W3CDTF">2026-01-08T12:05:00Z</dcterms:created>
  <dcterms:modified xsi:type="dcterms:W3CDTF">2026-01-08T12:05:00Z</dcterms:modified>
</cp:coreProperties>
</file>